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9E8" w:rsidRDefault="004D09E8" w:rsidP="004D09E8">
      <w:pPr>
        <w:spacing w:after="120"/>
        <w:rPr>
          <w:rFonts w:ascii="Times New Roman" w:hAnsi="Times New Roman"/>
          <w:sz w:val="22"/>
        </w:rPr>
      </w:pPr>
      <w:r>
        <w:rPr>
          <w:rFonts w:ascii="Times New Roman" w:hAnsi="Times New Roman"/>
          <w:sz w:val="22"/>
        </w:rPr>
        <w:t xml:space="preserve">G. White, “And Now for Something Completely Northern: Institutions of Governance in the Territorial North,” </w:t>
      </w:r>
      <w:r>
        <w:rPr>
          <w:rFonts w:ascii="Times New Roman" w:hAnsi="Times New Roman"/>
          <w:i/>
          <w:sz w:val="22"/>
        </w:rPr>
        <w:t>Journal of Canadian Studies</w:t>
      </w:r>
      <w:r>
        <w:rPr>
          <w:rFonts w:ascii="Times New Roman" w:hAnsi="Times New Roman"/>
          <w:sz w:val="22"/>
        </w:rPr>
        <w:t xml:space="preserve"> 35:4 (Winter 2001)</w:t>
      </w:r>
    </w:p>
    <w:p w:rsidR="004D09E8" w:rsidRDefault="004D09E8" w:rsidP="004D09E8">
      <w:pPr>
        <w:spacing w:after="120"/>
        <w:rPr>
          <w:rFonts w:ascii="Times New Roman" w:hAnsi="Times New Roman"/>
          <w:sz w:val="22"/>
        </w:rPr>
      </w:pPr>
    </w:p>
    <w:p w:rsidR="004D09E8" w:rsidRDefault="004D09E8" w:rsidP="004D09E8">
      <w:pPr>
        <w:spacing w:after="120"/>
        <w:rPr>
          <w:rFonts w:ascii="Times New Roman" w:hAnsi="Times New Roman"/>
          <w:b/>
          <w:sz w:val="22"/>
        </w:rPr>
      </w:pPr>
      <w:r>
        <w:rPr>
          <w:rFonts w:ascii="Times New Roman" w:hAnsi="Times New Roman"/>
          <w:b/>
          <w:sz w:val="22"/>
        </w:rPr>
        <w:t>Overview</w:t>
      </w:r>
    </w:p>
    <w:p w:rsidR="004D09E8" w:rsidRDefault="004D09E8" w:rsidP="004D09E8">
      <w:pPr>
        <w:spacing w:after="120"/>
        <w:rPr>
          <w:rFonts w:ascii="Times New Roman" w:hAnsi="Times New Roman"/>
          <w:sz w:val="22"/>
        </w:rPr>
      </w:pPr>
      <w:r>
        <w:rPr>
          <w:rFonts w:ascii="Times New Roman" w:hAnsi="Times New Roman"/>
          <w:sz w:val="22"/>
        </w:rPr>
        <w:t>Paper examines some distinctive/unique institutions of governance in the territorial North with two goals: (1) draw wider attention to unusual and innovative structures/processes of government in the North; and (2) to demonstrate that beyond the status quo exist alternatives for national/provincial political institutions. Prominent within the paper is the theme that Aboriginal peoples in the North have had a significant influence on the political institutions and processes.</w:t>
      </w:r>
    </w:p>
    <w:p w:rsidR="004D09E8" w:rsidRDefault="004D09E8" w:rsidP="004D09E8">
      <w:pPr>
        <w:spacing w:after="120"/>
        <w:rPr>
          <w:rFonts w:ascii="Times New Roman" w:hAnsi="Times New Roman"/>
          <w:sz w:val="22"/>
        </w:rPr>
      </w:pPr>
      <w:r>
        <w:rPr>
          <w:rFonts w:ascii="Times New Roman" w:hAnsi="Times New Roman"/>
          <w:b/>
          <w:sz w:val="22"/>
        </w:rPr>
        <w:t xml:space="preserve">Thesis: </w:t>
      </w:r>
      <w:r>
        <w:rPr>
          <w:rFonts w:ascii="Times New Roman" w:hAnsi="Times New Roman"/>
          <w:sz w:val="22"/>
        </w:rPr>
        <w:t>much of interest and value is to be learned from the political and governmental institutions of northern Canada – which are qualitatively different from those institutions in southern Canada. Northern experience is important because it demonstrates:</w:t>
      </w:r>
    </w:p>
    <w:p w:rsidR="004D09E8" w:rsidRPr="004D09E8" w:rsidRDefault="004D09E8" w:rsidP="004D09E8">
      <w:pPr>
        <w:pStyle w:val="ListParagraph"/>
        <w:numPr>
          <w:ilvl w:val="0"/>
          <w:numId w:val="1"/>
        </w:numPr>
        <w:spacing w:after="120"/>
        <w:rPr>
          <w:rFonts w:ascii="Times New Roman" w:hAnsi="Times New Roman"/>
          <w:sz w:val="22"/>
        </w:rPr>
      </w:pPr>
      <w:r w:rsidRPr="004D09E8">
        <w:rPr>
          <w:rFonts w:ascii="Times New Roman" w:hAnsi="Times New Roman"/>
          <w:sz w:val="22"/>
        </w:rPr>
        <w:t>Options beyond the status quo exist for the structuring and operations of central institutions of governance</w:t>
      </w:r>
      <w:r>
        <w:rPr>
          <w:rFonts w:ascii="Times New Roman" w:hAnsi="Times New Roman"/>
          <w:sz w:val="22"/>
        </w:rPr>
        <w:t>;</w:t>
      </w:r>
    </w:p>
    <w:p w:rsidR="004D09E8" w:rsidRDefault="004D09E8" w:rsidP="004D09E8">
      <w:pPr>
        <w:pStyle w:val="ListParagraph"/>
        <w:numPr>
          <w:ilvl w:val="0"/>
          <w:numId w:val="1"/>
        </w:numPr>
        <w:spacing w:after="120"/>
        <w:rPr>
          <w:rFonts w:ascii="Times New Roman" w:hAnsi="Times New Roman"/>
          <w:sz w:val="22"/>
        </w:rPr>
      </w:pPr>
      <w:r>
        <w:rPr>
          <w:rFonts w:ascii="Times New Roman" w:hAnsi="Times New Roman"/>
          <w:sz w:val="22"/>
        </w:rPr>
        <w:t>That the effectiveness of these institutions depends (largely) on the extent to which they are meaningfully rooted in their societies</w:t>
      </w:r>
    </w:p>
    <w:p w:rsidR="004D09E8" w:rsidRDefault="004D09E8" w:rsidP="004D09E8">
      <w:pPr>
        <w:spacing w:after="120"/>
        <w:rPr>
          <w:rFonts w:ascii="Times New Roman" w:hAnsi="Times New Roman"/>
          <w:b/>
          <w:sz w:val="22"/>
        </w:rPr>
      </w:pPr>
      <w:r>
        <w:rPr>
          <w:rFonts w:ascii="Times New Roman" w:hAnsi="Times New Roman"/>
          <w:b/>
          <w:sz w:val="22"/>
        </w:rPr>
        <w:t>Background/Analysis:</w:t>
      </w:r>
    </w:p>
    <w:p w:rsidR="004D09E8" w:rsidRPr="004D09E8" w:rsidRDefault="004D09E8" w:rsidP="004D09E8">
      <w:pPr>
        <w:pStyle w:val="ListParagraph"/>
        <w:numPr>
          <w:ilvl w:val="0"/>
          <w:numId w:val="2"/>
        </w:numPr>
        <w:spacing w:after="120"/>
        <w:rPr>
          <w:rFonts w:ascii="Times New Roman" w:hAnsi="Times New Roman"/>
          <w:sz w:val="22"/>
        </w:rPr>
      </w:pPr>
      <w:r w:rsidRPr="004D09E8">
        <w:rPr>
          <w:rFonts w:ascii="Times New Roman" w:hAnsi="Times New Roman"/>
          <w:sz w:val="22"/>
        </w:rPr>
        <w:t>Territories are something of ‘proto-provinces’ – in all substantive ways they are autonomous, self-governing entities that exercise a wide range of jurisdictional powers, but they lack constitutional status</w:t>
      </w:r>
    </w:p>
    <w:p w:rsidR="004D09E8" w:rsidRDefault="004D09E8" w:rsidP="004D09E8">
      <w:pPr>
        <w:pStyle w:val="ListParagraph"/>
        <w:numPr>
          <w:ilvl w:val="0"/>
          <w:numId w:val="2"/>
        </w:numPr>
        <w:spacing w:after="120"/>
        <w:rPr>
          <w:rFonts w:ascii="Times New Roman" w:hAnsi="Times New Roman"/>
          <w:sz w:val="22"/>
          <w:u w:val="single"/>
        </w:rPr>
      </w:pPr>
      <w:r w:rsidRPr="004D09E8">
        <w:rPr>
          <w:rFonts w:ascii="Times New Roman" w:hAnsi="Times New Roman"/>
          <w:sz w:val="22"/>
          <w:u w:val="single"/>
        </w:rPr>
        <w:t>Consensus Government</w:t>
      </w:r>
    </w:p>
    <w:p w:rsidR="004D09E8" w:rsidRPr="004D09E8" w:rsidRDefault="004D09E8" w:rsidP="004D09E8">
      <w:pPr>
        <w:pStyle w:val="ListParagraph"/>
        <w:numPr>
          <w:ilvl w:val="1"/>
          <w:numId w:val="2"/>
        </w:numPr>
        <w:spacing w:after="120"/>
        <w:rPr>
          <w:rFonts w:ascii="Times New Roman" w:hAnsi="Times New Roman"/>
          <w:sz w:val="22"/>
          <w:u w:val="single"/>
        </w:rPr>
      </w:pPr>
      <w:r>
        <w:rPr>
          <w:rFonts w:ascii="Times New Roman" w:hAnsi="Times New Roman"/>
          <w:sz w:val="22"/>
        </w:rPr>
        <w:t xml:space="preserve">Type of </w:t>
      </w:r>
      <w:proofErr w:type="spellStart"/>
      <w:r>
        <w:rPr>
          <w:rFonts w:ascii="Times New Roman" w:hAnsi="Times New Roman"/>
          <w:sz w:val="22"/>
        </w:rPr>
        <w:t>gov’t</w:t>
      </w:r>
      <w:proofErr w:type="spellEnd"/>
      <w:r>
        <w:rPr>
          <w:rFonts w:ascii="Times New Roman" w:hAnsi="Times New Roman"/>
          <w:sz w:val="22"/>
        </w:rPr>
        <w:t xml:space="preserve"> in NWT and Nunavut – in essence it is a non-partisan Westminster cabinet-parliamentary regime. Premier and the cabinet are chosen by secret ballot of all </w:t>
      </w:r>
      <w:proofErr w:type="spellStart"/>
      <w:r>
        <w:rPr>
          <w:rFonts w:ascii="Times New Roman" w:hAnsi="Times New Roman"/>
          <w:sz w:val="22"/>
        </w:rPr>
        <w:t>MLAs</w:t>
      </w:r>
      <w:proofErr w:type="spellEnd"/>
      <w:r>
        <w:rPr>
          <w:rFonts w:ascii="Times New Roman" w:hAnsi="Times New Roman"/>
          <w:sz w:val="22"/>
        </w:rPr>
        <w:t>, with the premier assigning ministers to portfolios, subsequently able to shuffle them. Premier is truly the “first among equals”</w:t>
      </w:r>
    </w:p>
    <w:p w:rsidR="00F57A39" w:rsidRPr="00F57A39" w:rsidRDefault="004D09E8" w:rsidP="004D09E8">
      <w:pPr>
        <w:pStyle w:val="ListParagraph"/>
        <w:numPr>
          <w:ilvl w:val="1"/>
          <w:numId w:val="2"/>
        </w:numPr>
        <w:spacing w:after="120"/>
        <w:rPr>
          <w:rFonts w:ascii="Times New Roman" w:hAnsi="Times New Roman"/>
          <w:sz w:val="22"/>
          <w:u w:val="single"/>
        </w:rPr>
      </w:pPr>
      <w:r>
        <w:rPr>
          <w:rFonts w:ascii="Times New Roman" w:hAnsi="Times New Roman"/>
          <w:sz w:val="22"/>
        </w:rPr>
        <w:t>Consensus style emerges from Aboriginal presence in these governments</w:t>
      </w:r>
    </w:p>
    <w:p w:rsidR="00F57A39" w:rsidRPr="00F57A39" w:rsidRDefault="00F57A39" w:rsidP="004D09E8">
      <w:pPr>
        <w:pStyle w:val="ListParagraph"/>
        <w:numPr>
          <w:ilvl w:val="1"/>
          <w:numId w:val="2"/>
        </w:numPr>
        <w:spacing w:after="120"/>
        <w:rPr>
          <w:rFonts w:ascii="Times New Roman" w:hAnsi="Times New Roman"/>
          <w:sz w:val="22"/>
          <w:u w:val="single"/>
        </w:rPr>
      </w:pPr>
      <w:r>
        <w:rPr>
          <w:rFonts w:ascii="Times New Roman" w:hAnsi="Times New Roman"/>
          <w:sz w:val="22"/>
        </w:rPr>
        <w:t>Some believe party politics are beginning to emerge in the NWT</w:t>
      </w:r>
    </w:p>
    <w:p w:rsidR="00E84732" w:rsidRPr="00E84732" w:rsidRDefault="00F57A39" w:rsidP="004D09E8">
      <w:pPr>
        <w:pStyle w:val="ListParagraph"/>
        <w:numPr>
          <w:ilvl w:val="1"/>
          <w:numId w:val="2"/>
        </w:numPr>
        <w:spacing w:after="120"/>
        <w:rPr>
          <w:rFonts w:ascii="Times New Roman" w:hAnsi="Times New Roman"/>
          <w:sz w:val="22"/>
          <w:u w:val="single"/>
        </w:rPr>
      </w:pPr>
      <w:r>
        <w:rPr>
          <w:rFonts w:ascii="Times New Roman" w:hAnsi="Times New Roman"/>
          <w:sz w:val="22"/>
        </w:rPr>
        <w:t xml:space="preserve">Consensus </w:t>
      </w:r>
      <w:proofErr w:type="spellStart"/>
      <w:r>
        <w:rPr>
          <w:rFonts w:ascii="Times New Roman" w:hAnsi="Times New Roman"/>
          <w:sz w:val="22"/>
        </w:rPr>
        <w:t>gov’t</w:t>
      </w:r>
      <w:proofErr w:type="spellEnd"/>
      <w:r>
        <w:rPr>
          <w:rFonts w:ascii="Times New Roman" w:hAnsi="Times New Roman"/>
          <w:sz w:val="22"/>
        </w:rPr>
        <w:t xml:space="preserve"> has its failings – it can be highly parochial and inclined to behind-the-scenes log-rolling on capital projects, </w:t>
      </w:r>
      <w:proofErr w:type="spellStart"/>
      <w:r>
        <w:rPr>
          <w:rFonts w:ascii="Times New Roman" w:hAnsi="Times New Roman"/>
          <w:sz w:val="22"/>
        </w:rPr>
        <w:t>govt</w:t>
      </w:r>
      <w:proofErr w:type="spellEnd"/>
      <w:r>
        <w:rPr>
          <w:rFonts w:ascii="Times New Roman" w:hAnsi="Times New Roman"/>
          <w:sz w:val="22"/>
        </w:rPr>
        <w:t xml:space="preserve"> jobs, factionalism and individualism in the legislature, and limited control by the premier can undercut policy coherence</w:t>
      </w:r>
    </w:p>
    <w:p w:rsidR="00E84732" w:rsidRDefault="00E84732" w:rsidP="00E84732">
      <w:pPr>
        <w:pStyle w:val="ListParagraph"/>
        <w:numPr>
          <w:ilvl w:val="0"/>
          <w:numId w:val="2"/>
        </w:numPr>
        <w:spacing w:after="120"/>
        <w:rPr>
          <w:rFonts w:ascii="Times New Roman" w:hAnsi="Times New Roman"/>
          <w:sz w:val="22"/>
          <w:u w:val="single"/>
        </w:rPr>
      </w:pPr>
      <w:r>
        <w:rPr>
          <w:rFonts w:ascii="Times New Roman" w:hAnsi="Times New Roman"/>
          <w:sz w:val="22"/>
          <w:u w:val="single"/>
        </w:rPr>
        <w:t>Aboriginal Self-Government</w:t>
      </w:r>
    </w:p>
    <w:p w:rsidR="009C5AE4" w:rsidRPr="009C5AE4" w:rsidRDefault="00E84732" w:rsidP="004D09E8">
      <w:pPr>
        <w:pStyle w:val="ListParagraph"/>
        <w:numPr>
          <w:ilvl w:val="1"/>
          <w:numId w:val="2"/>
        </w:numPr>
        <w:spacing w:after="120"/>
        <w:rPr>
          <w:rFonts w:ascii="Times New Roman" w:hAnsi="Times New Roman"/>
          <w:sz w:val="22"/>
          <w:u w:val="single"/>
        </w:rPr>
      </w:pPr>
      <w:r>
        <w:rPr>
          <w:rFonts w:ascii="Times New Roman" w:hAnsi="Times New Roman"/>
          <w:sz w:val="22"/>
        </w:rPr>
        <w:t xml:space="preserve">No resolution of mega-constitutional exercises in sight, and thus there is no clear picture of the new institutional framework that has emerged. As self-government agreements come into play, the structure and nature of NWT and Yukon </w:t>
      </w:r>
      <w:proofErr w:type="spellStart"/>
      <w:r>
        <w:rPr>
          <w:rFonts w:ascii="Times New Roman" w:hAnsi="Times New Roman"/>
          <w:sz w:val="22"/>
        </w:rPr>
        <w:t>govt</w:t>
      </w:r>
      <w:proofErr w:type="spellEnd"/>
      <w:r>
        <w:rPr>
          <w:rFonts w:ascii="Times New Roman" w:hAnsi="Times New Roman"/>
          <w:sz w:val="22"/>
        </w:rPr>
        <w:t xml:space="preserve"> will be affected</w:t>
      </w:r>
    </w:p>
    <w:p w:rsidR="009C5AE4" w:rsidRDefault="004D09E8" w:rsidP="009C5AE4">
      <w:pPr>
        <w:pStyle w:val="ListParagraph"/>
        <w:numPr>
          <w:ilvl w:val="0"/>
          <w:numId w:val="2"/>
        </w:numPr>
        <w:spacing w:after="120"/>
        <w:rPr>
          <w:rFonts w:ascii="Times New Roman" w:hAnsi="Times New Roman"/>
          <w:sz w:val="22"/>
          <w:u w:val="single"/>
        </w:rPr>
      </w:pPr>
      <w:r w:rsidRPr="009C5AE4">
        <w:rPr>
          <w:rFonts w:ascii="Times New Roman" w:hAnsi="Times New Roman"/>
          <w:sz w:val="22"/>
          <w:u w:val="single"/>
        </w:rPr>
        <w:t>Co-management boards</w:t>
      </w:r>
    </w:p>
    <w:p w:rsidR="009C5AE4" w:rsidRPr="009C5AE4" w:rsidRDefault="009C5AE4" w:rsidP="009C5AE4">
      <w:pPr>
        <w:pStyle w:val="ListParagraph"/>
        <w:numPr>
          <w:ilvl w:val="1"/>
          <w:numId w:val="2"/>
        </w:numPr>
        <w:spacing w:after="120"/>
        <w:rPr>
          <w:rFonts w:ascii="Times New Roman" w:hAnsi="Times New Roman"/>
          <w:sz w:val="22"/>
          <w:u w:val="single"/>
        </w:rPr>
      </w:pPr>
      <w:r>
        <w:rPr>
          <w:rFonts w:ascii="Times New Roman" w:hAnsi="Times New Roman"/>
          <w:sz w:val="22"/>
        </w:rPr>
        <w:t xml:space="preserve">Derive from the settled comprehensive land claims that exist almost as a distinct level of </w:t>
      </w:r>
      <w:proofErr w:type="spellStart"/>
      <w:r>
        <w:rPr>
          <w:rFonts w:ascii="Times New Roman" w:hAnsi="Times New Roman"/>
          <w:sz w:val="22"/>
        </w:rPr>
        <w:t>govt</w:t>
      </w:r>
      <w:proofErr w:type="spellEnd"/>
      <w:r>
        <w:rPr>
          <w:rFonts w:ascii="Times New Roman" w:hAnsi="Times New Roman"/>
          <w:sz w:val="22"/>
        </w:rPr>
        <w:t xml:space="preserve"> – independent of territorial/federal governments and of Aboriginal organizations, and exercising (on occasion) significant governmental authority </w:t>
      </w:r>
    </w:p>
    <w:p w:rsidR="009C5AE4" w:rsidRPr="009C5AE4" w:rsidRDefault="009C5AE4" w:rsidP="009C5AE4">
      <w:pPr>
        <w:pStyle w:val="ListParagraph"/>
        <w:numPr>
          <w:ilvl w:val="1"/>
          <w:numId w:val="2"/>
        </w:numPr>
        <w:spacing w:after="120"/>
        <w:rPr>
          <w:rFonts w:ascii="Times New Roman" w:hAnsi="Times New Roman"/>
          <w:sz w:val="22"/>
          <w:u w:val="single"/>
        </w:rPr>
      </w:pPr>
      <w:r>
        <w:rPr>
          <w:rFonts w:ascii="Times New Roman" w:hAnsi="Times New Roman"/>
          <w:sz w:val="22"/>
        </w:rPr>
        <w:t>Represent a political compromise between Aboriginal organizations (who want control over land and wildlife that is central to Aboriginal peoples) and government (who insists on maintaining authority of use and management of public lands)</w:t>
      </w:r>
    </w:p>
    <w:p w:rsidR="009C5AE4" w:rsidRPr="009C5AE4" w:rsidRDefault="009C5AE4" w:rsidP="009C5AE4">
      <w:pPr>
        <w:pStyle w:val="ListParagraph"/>
        <w:numPr>
          <w:ilvl w:val="1"/>
          <w:numId w:val="2"/>
        </w:numPr>
        <w:spacing w:after="120"/>
        <w:rPr>
          <w:rFonts w:ascii="Times New Roman" w:hAnsi="Times New Roman"/>
          <w:sz w:val="22"/>
          <w:u w:val="single"/>
        </w:rPr>
      </w:pPr>
      <w:r>
        <w:rPr>
          <w:rFonts w:ascii="Times New Roman" w:hAnsi="Times New Roman"/>
          <w:sz w:val="22"/>
        </w:rPr>
        <w:t>Not without issues – i.e. one observer noted “co-management arrangements oppress traditional Inuit forms of management”</w:t>
      </w:r>
    </w:p>
    <w:p w:rsidR="004D09E8" w:rsidRPr="009C5AE4" w:rsidRDefault="009C5AE4" w:rsidP="009C5AE4">
      <w:pPr>
        <w:pStyle w:val="ListParagraph"/>
        <w:numPr>
          <w:ilvl w:val="0"/>
          <w:numId w:val="2"/>
        </w:numPr>
        <w:spacing w:after="120"/>
        <w:rPr>
          <w:rFonts w:ascii="Times New Roman" w:hAnsi="Times New Roman"/>
          <w:sz w:val="22"/>
          <w:u w:val="single"/>
        </w:rPr>
      </w:pPr>
      <w:r w:rsidRPr="009C5AE4">
        <w:rPr>
          <w:rFonts w:ascii="Times New Roman" w:hAnsi="Times New Roman"/>
          <w:sz w:val="22"/>
          <w:u w:val="single"/>
        </w:rPr>
        <w:t>Integrating traditional knowledge</w:t>
      </w:r>
    </w:p>
    <w:p w:rsidR="009C5AE4" w:rsidRDefault="009C5AE4" w:rsidP="004D09E8">
      <w:pPr>
        <w:spacing w:after="120"/>
        <w:rPr>
          <w:rFonts w:ascii="Times New Roman" w:hAnsi="Times New Roman"/>
          <w:sz w:val="22"/>
        </w:rPr>
      </w:pPr>
    </w:p>
    <w:p w:rsidR="004D09E8" w:rsidRPr="004D09E8" w:rsidRDefault="009C5AE4" w:rsidP="004D09E8">
      <w:pPr>
        <w:spacing w:after="120"/>
        <w:rPr>
          <w:rFonts w:ascii="Times New Roman" w:hAnsi="Times New Roman"/>
          <w:sz w:val="22"/>
        </w:rPr>
      </w:pPr>
      <w:r>
        <w:rPr>
          <w:rFonts w:ascii="Times New Roman" w:hAnsi="Times New Roman"/>
          <w:sz w:val="22"/>
        </w:rPr>
        <w:t xml:space="preserve">Central elements of government in the territorial North differ substantially from those of the provinces and federal </w:t>
      </w:r>
      <w:proofErr w:type="spellStart"/>
      <w:r>
        <w:rPr>
          <w:rFonts w:ascii="Times New Roman" w:hAnsi="Times New Roman"/>
          <w:sz w:val="22"/>
        </w:rPr>
        <w:t>govt</w:t>
      </w:r>
      <w:proofErr w:type="spellEnd"/>
      <w:r>
        <w:rPr>
          <w:rFonts w:ascii="Times New Roman" w:hAnsi="Times New Roman"/>
          <w:sz w:val="22"/>
        </w:rPr>
        <w:t xml:space="preserve"> – but to dismiss these differences as exotic and irrelevant to southern governance would be a mistake.</w:t>
      </w:r>
    </w:p>
    <w:sectPr w:rsidR="004D09E8" w:rsidRPr="004D09E8" w:rsidSect="004D09E8">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50C0C"/>
    <w:multiLevelType w:val="hybridMultilevel"/>
    <w:tmpl w:val="A0FEA736"/>
    <w:lvl w:ilvl="0" w:tplc="EB48C3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3B460B"/>
    <w:multiLevelType w:val="hybridMultilevel"/>
    <w:tmpl w:val="5A68D78A"/>
    <w:lvl w:ilvl="0" w:tplc="E4982C1A">
      <w:start w:val="1"/>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D09E8"/>
    <w:rsid w:val="004D09E8"/>
    <w:rsid w:val="009C5AE4"/>
    <w:rsid w:val="00E84732"/>
    <w:rsid w:val="00F57A3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9E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D09E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cp:lastPrinted>2012-04-28T18:26:00Z</cp:lastPrinted>
  <dcterms:created xsi:type="dcterms:W3CDTF">2012-04-28T18:21:00Z</dcterms:created>
  <dcterms:modified xsi:type="dcterms:W3CDTF">2012-04-28T19:07:00Z</dcterms:modified>
</cp:coreProperties>
</file>